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/>
      </w:pPr>
      <w:r>
        <w:rPr>
          <w:rFonts w:hint="eastAsia" w:ascii="黑体" w:hAnsi="宋体" w:eastAsia="黑体" w:cs="黑体"/>
          <w:color w:val="000000"/>
          <w:sz w:val="32"/>
          <w:szCs w:val="32"/>
          <w:lang w:val="ar" w:eastAsia="zh-CN"/>
        </w:rPr>
        <w:t>附件3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ar" w:eastAsia="zh-CN"/>
        </w:rPr>
        <w:t>预警分级条件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重污染天气预警统一以空气质量指数（AQI）为预警分级指标。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预警级别从低到高依次为黄色、橙色和红色预警。当预测出现72小时及以上重污染天气过程时，要按照空气质量预报结果上限确定预警级别。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黄色预警：预测AQI＞200持续24小时及以上或AQI＞150持续36小时及以上，且未达到高级别预警条件。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橙色预警：预测AQI&gt;200持续36小时或AQI＞150持续48小时及以上，且未达到高级别预警条件。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红色预警：预测AQI&gt;200持续48小时且AQI&gt;300持续24小时及以上。</w:t>
      </w: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当预测发生前后两次重污染过程，且间隔时间未达到</w:t>
      </w:r>
      <w:r>
        <w:rPr>
          <w:rFonts w:ascii="TimesNewRomanPSMT" w:hAnsi="TimesNewRomanPSMT" w:eastAsia="TimesNewRomanPSMT" w:cs="TimesNewRomanPSMT"/>
          <w:color w:val="000000"/>
          <w:sz w:val="32"/>
          <w:szCs w:val="32"/>
          <w:lang w:val="ar" w:eastAsia="zh-CN"/>
        </w:rPr>
        <w:t>36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ar" w:eastAsia="zh-CN"/>
        </w:rPr>
        <w:t>小时，按一次重污染过程从高级别启动预警。当预测或监测空气质量达到更高级别预警条件时，尽早采取升级措施。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1" w:after="0" w:afterAutospacing="1" w:line="640" w:lineRule="atLeast"/>
        <w:ind w:left="0" w:right="0" w:firstLine="280"/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GZiOTU2ZDZhM2JjNzVmYWE0YWY0MzRkMThmNmYifQ=="/>
  </w:docVars>
  <w:rsids>
    <w:rsidRoot w:val="00000000"/>
    <w:rsid w:val="63893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2024-04-10T01:14:28Z</dcterms:created>
  <dc:creator>admin-902</dc:creator>
  <cp:lastModifiedBy>admin-902</cp:lastModifiedBy>
  <dcterms:modified xsi:type="dcterms:W3CDTF">2024-04-10T01:16:33Z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48197A986B8B43A2A1A90BED1496FF20_13</vt:lpwstr>
  </property>
</Properties>
</file>