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14" w:rsidRDefault="003F3114" w:rsidP="003F3114">
      <w:pPr>
        <w:adjustRightInd w:val="0"/>
        <w:snapToGrid w:val="0"/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p w:rsidR="003F3114" w:rsidRDefault="003F3114" w:rsidP="003F3114">
      <w:pPr>
        <w:widowControl/>
        <w:spacing w:line="520" w:lineRule="exact"/>
        <w:rPr>
          <w:rFonts w:ascii="方正小标宋_GBK" w:eastAsia="方正小标宋_GBK" w:hAnsi="黑体" w:cs="黑体"/>
          <w:sz w:val="40"/>
          <w:szCs w:val="40"/>
        </w:rPr>
      </w:pPr>
    </w:p>
    <w:p w:rsidR="003F3114" w:rsidRDefault="003F3114" w:rsidP="003F3114">
      <w:pPr>
        <w:widowControl/>
        <w:spacing w:line="520" w:lineRule="exact"/>
        <w:jc w:val="center"/>
        <w:rPr>
          <w:rFonts w:ascii="方正小标宋_GBK" w:eastAsia="方正小标宋_GBK" w:hAnsi="仿宋_GB2312" w:cs="仿宋_GB2312"/>
          <w:sz w:val="40"/>
          <w:szCs w:val="40"/>
        </w:rPr>
      </w:pPr>
      <w:r>
        <w:rPr>
          <w:rFonts w:ascii="方正小标宋_GBK" w:eastAsia="方正小标宋_GBK" w:hAnsi="黑体" w:cs="黑体" w:hint="eastAsia"/>
          <w:sz w:val="40"/>
          <w:szCs w:val="40"/>
        </w:rPr>
        <w:t>宝鸡高新区零售药店开办“一件事”办事指南</w:t>
      </w:r>
    </w:p>
    <w:p w:rsidR="003F3114" w:rsidRDefault="003F3114" w:rsidP="003F3114">
      <w:pPr>
        <w:widowControl/>
        <w:spacing w:line="520" w:lineRule="exact"/>
        <w:rPr>
          <w:rFonts w:ascii="方正小标宋_GBK" w:eastAsia="方正小标宋_GBK" w:hAnsi="仿宋_GB2312" w:cs="仿宋_GB2312"/>
          <w:sz w:val="40"/>
          <w:szCs w:val="40"/>
        </w:rPr>
      </w:pPr>
    </w:p>
    <w:p w:rsidR="003F3114" w:rsidRDefault="003F3114" w:rsidP="003F3114">
      <w:pPr>
        <w:widowControl/>
        <w:adjustRightInd w:val="0"/>
        <w:snapToGrid w:val="0"/>
        <w:spacing w:line="640" w:lineRule="exact"/>
        <w:ind w:firstLineChars="200" w:firstLine="656"/>
        <w:rPr>
          <w:rFonts w:ascii="方正小标宋_GBK" w:eastAsia="方正小标宋_GBK" w:hAnsi="仿宋_GB2312" w:cs="仿宋_GB2312"/>
          <w:sz w:val="40"/>
          <w:szCs w:val="40"/>
        </w:rPr>
      </w:pPr>
      <w:r>
        <w:rPr>
          <w:rFonts w:ascii="黑体" w:eastAsia="黑体" w:hAnsi="黑体" w:cs="黑体"/>
          <w:spacing w:val="4"/>
          <w:position w:val="1"/>
          <w:sz w:val="32"/>
          <w:szCs w:val="32"/>
        </w:rPr>
        <w:t>一、事项名称</w:t>
      </w:r>
    </w:p>
    <w:p w:rsidR="003F3114" w:rsidRDefault="003F3114" w:rsidP="003F3114">
      <w:pPr>
        <w:pStyle w:val="a3"/>
        <w:widowControl/>
        <w:adjustRightInd w:val="0"/>
        <w:snapToGrid w:val="0"/>
        <w:spacing w:line="640" w:lineRule="exact"/>
        <w:ind w:firstLineChars="200" w:firstLine="66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5"/>
          <w:position w:val="1"/>
          <w:sz w:val="32"/>
          <w:szCs w:val="32"/>
          <w:lang w:eastAsia="zh-CN"/>
        </w:rPr>
        <w:t>零售药店开办“一件事”</w:t>
      </w:r>
    </w:p>
    <w:p w:rsidR="003F3114" w:rsidRDefault="003F3114" w:rsidP="003F3114">
      <w:pPr>
        <w:widowControl/>
        <w:adjustRightInd w:val="0"/>
        <w:snapToGrid w:val="0"/>
        <w:spacing w:line="64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/>
          <w:spacing w:val="4"/>
          <w:position w:val="1"/>
          <w:sz w:val="32"/>
          <w:szCs w:val="32"/>
        </w:rPr>
        <w:t>二、适用范围</w:t>
      </w:r>
    </w:p>
    <w:p w:rsidR="003F3114" w:rsidRDefault="003F3114" w:rsidP="003F3114">
      <w:pPr>
        <w:pStyle w:val="a3"/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宝鸡高新区范围内零售药店企业在申请《药品经营许可证》时，可按需同步申请第三类医疗器械经营许可、第二类医疗器械经营备案、仅销售预包装食品经营备案和门头牌匾标识审查登记等相关事项，实现开办药店相关行政审批事项 “一次告知、一表申请、一套材料、一窗（端）受理、一并审批、一同踏勘、一窗发证、一证准营”。</w:t>
      </w:r>
    </w:p>
    <w:p w:rsidR="003F3114" w:rsidRDefault="003F3114" w:rsidP="003F3114">
      <w:pPr>
        <w:widowControl/>
        <w:adjustRightInd w:val="0"/>
        <w:snapToGrid w:val="0"/>
        <w:spacing w:line="64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/>
          <w:spacing w:val="4"/>
          <w:position w:val="1"/>
          <w:sz w:val="32"/>
          <w:szCs w:val="32"/>
        </w:rPr>
        <w:t>三、涉及事项</w:t>
      </w:r>
    </w:p>
    <w:p w:rsidR="003F3114" w:rsidRDefault="003F3114" w:rsidP="003F3114">
      <w:pPr>
        <w:pStyle w:val="a3"/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1.企业营业执照信息核验；</w:t>
      </w:r>
    </w:p>
    <w:p w:rsidR="003F3114" w:rsidRDefault="003F3114" w:rsidP="003F3114">
      <w:pPr>
        <w:pStyle w:val="a3"/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2.药品零售企业许可；</w:t>
      </w:r>
    </w:p>
    <w:p w:rsidR="003F3114" w:rsidRDefault="003F3114" w:rsidP="003F3114">
      <w:pPr>
        <w:pStyle w:val="a3"/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3.第三类医疗器械经营许可；</w:t>
      </w:r>
    </w:p>
    <w:p w:rsidR="003F3114" w:rsidRDefault="003F3114" w:rsidP="003F3114">
      <w:pPr>
        <w:pStyle w:val="a3"/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4.第二类医疗器械经营备案；</w:t>
      </w:r>
    </w:p>
    <w:p w:rsidR="003F3114" w:rsidRDefault="003F3114" w:rsidP="003F3114">
      <w:pPr>
        <w:pStyle w:val="a3"/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5.预包装食品经营备案；</w:t>
      </w:r>
    </w:p>
    <w:p w:rsidR="003F3114" w:rsidRDefault="003F3114" w:rsidP="003F3114">
      <w:pPr>
        <w:pStyle w:val="a3"/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6.牌匾标识审查登记（设置门头牌匾时办理）。</w:t>
      </w:r>
    </w:p>
    <w:p w:rsidR="003F3114" w:rsidRDefault="003F3114" w:rsidP="003F3114">
      <w:pPr>
        <w:widowControl/>
        <w:adjustRightInd w:val="0"/>
        <w:snapToGrid w:val="0"/>
        <w:spacing w:line="64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/>
          <w:spacing w:val="4"/>
          <w:position w:val="1"/>
          <w:sz w:val="32"/>
          <w:szCs w:val="32"/>
        </w:rPr>
        <w:t>四、</w:t>
      </w:r>
      <w:r>
        <w:rPr>
          <w:rFonts w:ascii="黑体" w:eastAsia="黑体" w:hAnsi="黑体" w:cs="黑体" w:hint="eastAsia"/>
          <w:spacing w:val="4"/>
          <w:position w:val="1"/>
          <w:sz w:val="32"/>
          <w:szCs w:val="32"/>
        </w:rPr>
        <w:t>办理信息</w:t>
      </w:r>
    </w:p>
    <w:p w:rsidR="003F3114" w:rsidRPr="00822FB1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仿宋_GB2312" w:eastAsia="仿宋_GB2312" w:hAnsi="黑体" w:cs="黑体"/>
          <w:spacing w:val="4"/>
          <w:position w:val="1"/>
          <w:sz w:val="32"/>
          <w:szCs w:val="32"/>
        </w:rPr>
      </w:pPr>
      <w:r w:rsidRPr="00822FB1">
        <w:rPr>
          <w:rFonts w:ascii="仿宋_GB2312" w:eastAsia="仿宋_GB2312" w:hAnsi="黑体" w:cs="黑体" w:hint="eastAsia"/>
          <w:spacing w:val="4"/>
          <w:position w:val="1"/>
          <w:sz w:val="32"/>
          <w:szCs w:val="32"/>
        </w:rPr>
        <w:lastRenderedPageBreak/>
        <w:t>1.受理窗口：宝鸡高新区政务服务中心“高效办成一件事”综合窗口（95号窗口）</w:t>
      </w:r>
    </w:p>
    <w:p w:rsidR="003F3114" w:rsidRPr="00822FB1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仿宋_GB2312" w:eastAsia="仿宋_GB2312" w:hAnsi="黑体" w:cs="黑体"/>
          <w:spacing w:val="4"/>
          <w:position w:val="1"/>
          <w:sz w:val="32"/>
          <w:szCs w:val="32"/>
        </w:rPr>
      </w:pPr>
      <w:r w:rsidRPr="00822FB1">
        <w:rPr>
          <w:rFonts w:ascii="仿宋_GB2312" w:eastAsia="仿宋_GB2312" w:hAnsi="黑体" w:cs="黑体" w:hint="eastAsia"/>
          <w:spacing w:val="4"/>
          <w:position w:val="1"/>
          <w:sz w:val="32"/>
          <w:szCs w:val="32"/>
        </w:rPr>
        <w:t>2.办公地址：宝鸡市高新大道195号钛谷大厦二楼</w:t>
      </w:r>
    </w:p>
    <w:p w:rsidR="003F3114" w:rsidRPr="00822FB1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仿宋_GB2312" w:eastAsia="仿宋_GB2312" w:hAnsi="黑体" w:cs="黑体"/>
          <w:spacing w:val="4"/>
          <w:position w:val="1"/>
          <w:sz w:val="32"/>
          <w:szCs w:val="32"/>
        </w:rPr>
      </w:pPr>
      <w:r>
        <w:rPr>
          <w:rFonts w:ascii="仿宋_GB2312" w:eastAsia="仿宋_GB2312" w:hAnsi="黑体" w:cs="黑体" w:hint="eastAsia"/>
          <w:spacing w:val="4"/>
          <w:position w:val="1"/>
          <w:sz w:val="32"/>
          <w:szCs w:val="32"/>
        </w:rPr>
        <w:t>3</w:t>
      </w:r>
      <w:r w:rsidRPr="00822FB1">
        <w:rPr>
          <w:rFonts w:ascii="仿宋_GB2312" w:eastAsia="仿宋_GB2312" w:hAnsi="黑体" w:cs="黑体" w:hint="eastAsia"/>
          <w:spacing w:val="4"/>
          <w:position w:val="1"/>
          <w:sz w:val="32"/>
          <w:szCs w:val="32"/>
        </w:rPr>
        <w:t>.办理时间：周一至周五上午8:30-12:00、下午13:00-17:00（国家法定节假日除外）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仿宋_GB2312" w:eastAsia="仿宋_GB2312" w:hAnsi="黑体" w:cs="黑体"/>
          <w:spacing w:val="4"/>
          <w:position w:val="1"/>
          <w:sz w:val="32"/>
          <w:szCs w:val="32"/>
        </w:rPr>
      </w:pPr>
      <w:r>
        <w:rPr>
          <w:rFonts w:ascii="仿宋_GB2312" w:eastAsia="仿宋_GB2312" w:hAnsi="黑体" w:cs="黑体" w:hint="eastAsia"/>
          <w:spacing w:val="4"/>
          <w:position w:val="1"/>
          <w:sz w:val="32"/>
          <w:szCs w:val="32"/>
        </w:rPr>
        <w:t>4</w:t>
      </w:r>
      <w:r w:rsidRPr="00822FB1">
        <w:rPr>
          <w:rFonts w:ascii="仿宋_GB2312" w:eastAsia="仿宋_GB2312" w:hAnsi="黑体" w:cs="黑体" w:hint="eastAsia"/>
          <w:spacing w:val="4"/>
          <w:position w:val="1"/>
          <w:sz w:val="32"/>
          <w:szCs w:val="32"/>
        </w:rPr>
        <w:t>.咨询电话：0917-3802291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/>
          <w:spacing w:val="4"/>
          <w:position w:val="1"/>
          <w:sz w:val="32"/>
          <w:szCs w:val="32"/>
        </w:rPr>
        <w:t>五、办理时限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68"/>
        <w:rPr>
          <w:rFonts w:ascii="仿宋_GB2312" w:eastAsia="仿宋_GB2312" w:hAnsi="仿宋_GB2312" w:cs="仿宋_GB2312"/>
          <w:spacing w:val="7"/>
          <w:positio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position w:val="1"/>
          <w:sz w:val="32"/>
          <w:szCs w:val="32"/>
        </w:rPr>
        <w:t>法定时限：20个工作日（不含现场检查时间）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68"/>
        <w:rPr>
          <w:rFonts w:ascii="仿宋_GB2312" w:eastAsia="仿宋_GB2312" w:hAnsi="仿宋_GB2312" w:cs="仿宋_GB2312"/>
          <w:spacing w:val="7"/>
          <w:positio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position w:val="1"/>
          <w:sz w:val="32"/>
          <w:szCs w:val="32"/>
        </w:rPr>
        <w:t>承诺时限：10个工作日（不含现场检查时间）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 w:hint="eastAsia"/>
          <w:spacing w:val="4"/>
          <w:position w:val="1"/>
          <w:sz w:val="32"/>
          <w:szCs w:val="32"/>
        </w:rPr>
        <w:t>六、申请材料</w:t>
      </w:r>
    </w:p>
    <w:p w:rsidR="003F3114" w:rsidRPr="004926E3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（一）开办零售药店</w:t>
      </w:r>
      <w:r w:rsidRPr="004926E3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必备材料：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  <w:lang w:eastAsia="zh-CN"/>
        </w:rPr>
        <w:t>1.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《开办零售药店“高效办成一件事”综合申请表》；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企业营业执照；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房屋产权证明文件或者租赁协议（附房屋产权证明）；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企业法定代表人或者企业负责人、质量负责人的身份证明、学历、执业资格或职称证明、个人简历及专业技术人员资格证书、聘书；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与经营业态及范围（药品、器械、食品等）相适应的企业组织机构与职能框架图，经营设施、设备目录，经营质量管理制度及食品安全制度、工作程序等文件目录；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拟设置药店经营场所、库房的地理位置图、平面图（标注长、宽、高实际使用面积）；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/>
          <w:sz w:val="32"/>
          <w:szCs w:val="32"/>
          <w:lang w:eastAsia="zh-CN"/>
        </w:rPr>
        <w:t>7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经营范围、经营方式说明；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/>
          <w:sz w:val="32"/>
          <w:szCs w:val="32"/>
          <w:lang w:eastAsia="zh-CN"/>
        </w:rPr>
        <w:lastRenderedPageBreak/>
        <w:t>8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计算机信息管理系统说明；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/>
          <w:sz w:val="32"/>
          <w:szCs w:val="32"/>
          <w:lang w:eastAsia="zh-CN"/>
        </w:rPr>
        <w:t>9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法人授权委托书（非法定代表人亲自办理时需提供）；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药品零售连锁总部《药品经营许可证》（药品零售连锁门店需提供）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3F3114" w:rsidRPr="004926E3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（二）</w:t>
      </w:r>
      <w:r w:rsidRPr="004926E3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申请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第</w:t>
      </w:r>
      <w:r w:rsidRPr="004926E3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二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类</w:t>
      </w:r>
      <w:r w:rsidRPr="004926E3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、三类医疗器械需补充提供以下材料：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1、医疗器械质量负责人、从事诊断试剂、植介入医疗器械、角膜接触镜、助听器等人员学历或职称；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2、商标注册证；商标使用授权书；商标持有人营业执照或身份证明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（“连锁加盟类”企业需提供）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3、委托贮存、配送协议或合同；（委托具备为其他医疗器械生产经营企业提供贮存、配送资格的企业进行贮存、配送的提供）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4、冷库的构建合同、发票；备用制冷、备用发电机组发票（经营需低温冷藏存储的体外诊断试剂提供）；主管检验师、验收人员资质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（经营体外诊断试剂提供）</w:t>
      </w:r>
    </w:p>
    <w:p w:rsidR="003F3114" w:rsidRPr="00796ABD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  <w:lang w:eastAsia="zh-CN"/>
        </w:rPr>
      </w:pPr>
      <w:r w:rsidRPr="00796ABD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（三）申请门头牌匾标识审查登记需补充提供以下材料：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户外招牌设施设计平面图；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户外招牌设施现状图及实景效果图；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户外招牌设施设置安全承诺书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3F3114" w:rsidRPr="00796ABD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  <w:lang w:eastAsia="zh-CN"/>
        </w:rPr>
      </w:pPr>
      <w:r w:rsidRPr="00796ABD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（四）申请仅销售预包装食品经营备案需补充提供以下材料：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食品安全规章制度目录清单；</w:t>
      </w:r>
    </w:p>
    <w:p w:rsidR="003F3114" w:rsidRDefault="003F3114" w:rsidP="003F3114">
      <w:pPr>
        <w:pStyle w:val="a3"/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 w:rsidRPr="000C0027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利用自动设备仅销售预包装食品的，备案人应当提交每台设备的具体放置地点、备案编号的展示方法、食品安全风险管控方案等材料。（涉及自动设备仅销售预包装食品的需提供）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 w:hint="eastAsia"/>
          <w:spacing w:val="4"/>
          <w:position w:val="1"/>
          <w:sz w:val="32"/>
          <w:szCs w:val="32"/>
        </w:rPr>
        <w:lastRenderedPageBreak/>
        <w:t>七、办理方式</w:t>
      </w:r>
    </w:p>
    <w:p w:rsidR="003F3114" w:rsidRDefault="003F3114" w:rsidP="003F3114">
      <w:pPr>
        <w:pStyle w:val="a3"/>
        <w:widowControl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线上办理：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依托宝鸡政务服务网实现网上办理，登录宝鸡政务服务平台（选择“高新区”子网站）→“高效办成一件事”专栏→零售药店开办“一件事”办理专区，提交资料。</w:t>
      </w:r>
    </w:p>
    <w:p w:rsidR="003F3114" w:rsidRDefault="003F3114" w:rsidP="003F3114">
      <w:pPr>
        <w:pStyle w:val="a3"/>
        <w:widowControl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线下办理：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请至高新区政务服务中心“高效办成一件事”综合窗口申请办理。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 w:hint="eastAsia"/>
          <w:spacing w:val="4"/>
          <w:position w:val="1"/>
          <w:sz w:val="32"/>
          <w:szCs w:val="32"/>
        </w:rPr>
        <w:t>八、</w:t>
      </w:r>
      <w:r>
        <w:rPr>
          <w:rFonts w:ascii="黑体" w:eastAsia="黑体" w:hAnsi="黑体" w:cs="黑体"/>
          <w:spacing w:val="4"/>
          <w:position w:val="1"/>
          <w:sz w:val="32"/>
          <w:szCs w:val="32"/>
        </w:rPr>
        <w:t>办理流程</w:t>
      </w:r>
    </w:p>
    <w:p w:rsidR="003F3114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45410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申请人通过线上或线下一次性提交所有申报材料，由系统或综合窗口工作人员根据具体情况进行业务流转分发。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18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1</w:t>
      </w:r>
      <w:r w:rsidRPr="00665EAA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.受理：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线上办理时，“一件事”系统自动将业务分发至各相关单位审批系统，由各部门分别对药品零售企业许可、第三类医疗器械经营许可、第二类医疗器械经营备案、预包装食品经营备案、牌匾标识审查登记事项进行形式审查，符合法定条件的予以受理。线下办理时，由“高效办成一件事”综合窗口工作人员对全部申请材料进行形式审查，符合法定条件的予以受理，并负责将纸质材料分发至各相关单位。</w:t>
      </w:r>
    </w:p>
    <w:p w:rsidR="003F3114" w:rsidRPr="00665EAA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18"/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2</w:t>
      </w:r>
      <w:r w:rsidRPr="00665EAA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.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审核（</w:t>
      </w:r>
      <w:r w:rsidRPr="00665EAA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现场核查</w:t>
      </w: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）</w:t>
      </w:r>
      <w:r w:rsidRPr="00665EAA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：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申请材料审查通过后，对需现场核查的事项，由行政审批服务局统筹办理进度，联系相关单位一次性安排现场核查，需要整改的，整改时间不计入审核时限。</w:t>
      </w:r>
    </w:p>
    <w:p w:rsidR="003F3114" w:rsidRPr="00BB0F61" w:rsidRDefault="003F3114" w:rsidP="003F3114">
      <w:pPr>
        <w:pStyle w:val="a3"/>
        <w:widowControl/>
        <w:adjustRightInd w:val="0"/>
        <w:snapToGrid w:val="0"/>
        <w:spacing w:line="560" w:lineRule="exact"/>
        <w:ind w:firstLineChars="200" w:firstLine="618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3</w:t>
      </w:r>
      <w:r w:rsidRPr="00665EAA"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  <w:lang w:eastAsia="zh-CN"/>
        </w:rPr>
        <w:t>.审批：</w:t>
      </w:r>
      <w:r w:rsidRPr="00BB0F6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各相关单位在承诺时限内作出准予行政许可或不予行政许可的决定。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4</w:t>
      </w:r>
      <w:r w:rsidRPr="00BB0F61"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 w:rsidRPr="00BB0F6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送达</w:t>
      </w:r>
      <w:r w:rsidRPr="00BB0F61">
        <w:rPr>
          <w:rFonts w:ascii="仿宋_GB2312" w:eastAsia="仿宋_GB2312" w:hAnsi="仿宋_GB2312" w:cs="仿宋_GB2312" w:hint="eastAsia"/>
          <w:sz w:val="32"/>
          <w:szCs w:val="32"/>
        </w:rPr>
        <w:t>：各相关单位分别印制相关事项许可证、备案凭证或审查登记表等，并将办理结果送达至政务大厅“高效办成一件事”综合窗口，由综合窗口工作人员联系申请人领取证书。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 w:hint="eastAsia"/>
          <w:spacing w:val="4"/>
          <w:position w:val="1"/>
          <w:sz w:val="32"/>
          <w:szCs w:val="32"/>
        </w:rPr>
        <w:t>九、服务对象</w:t>
      </w:r>
    </w:p>
    <w:p w:rsidR="003F3114" w:rsidRDefault="003F3114" w:rsidP="003F3114">
      <w:pPr>
        <w:pStyle w:val="a3"/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药品零售企业</w:t>
      </w:r>
    </w:p>
    <w:p w:rsidR="003F3114" w:rsidRDefault="003F3114" w:rsidP="003F3114">
      <w:pPr>
        <w:widowControl/>
        <w:adjustRightInd w:val="0"/>
        <w:snapToGrid w:val="0"/>
        <w:spacing w:line="600" w:lineRule="exact"/>
        <w:ind w:firstLineChars="200" w:firstLine="656"/>
        <w:rPr>
          <w:rFonts w:ascii="黑体" w:eastAsia="黑体" w:hAnsi="黑体" w:cs="黑体"/>
          <w:spacing w:val="4"/>
          <w:position w:val="1"/>
          <w:sz w:val="32"/>
          <w:szCs w:val="32"/>
        </w:rPr>
      </w:pPr>
      <w:r>
        <w:rPr>
          <w:rFonts w:ascii="黑体" w:eastAsia="黑体" w:hAnsi="黑体" w:cs="黑体" w:hint="eastAsia"/>
          <w:spacing w:val="4"/>
          <w:position w:val="1"/>
          <w:sz w:val="32"/>
          <w:szCs w:val="32"/>
        </w:rPr>
        <w:t>十、是否收费</w:t>
      </w:r>
    </w:p>
    <w:p w:rsidR="003F3114" w:rsidRDefault="003F3114" w:rsidP="003F3114">
      <w:pPr>
        <w:pStyle w:val="a3"/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不收费。</w:t>
      </w:r>
    </w:p>
    <w:p w:rsidR="009965D0" w:rsidRDefault="009965D0">
      <w:bookmarkStart w:id="0" w:name="_GoBack"/>
      <w:bookmarkEnd w:id="0"/>
    </w:p>
    <w:sectPr w:rsidR="009965D0">
      <w:pgSz w:w="11906" w:h="16838"/>
      <w:pgMar w:top="2098" w:right="1474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14"/>
    <w:rsid w:val="003F3114"/>
    <w:rsid w:val="009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403EC-C2E3-44D8-B2CB-7E824188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F3114"/>
    <w:rPr>
      <w:rFonts w:ascii="宋体" w:hAnsi="宋体" w:cs="宋体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F3114"/>
    <w:rPr>
      <w:rFonts w:ascii="宋体" w:eastAsia="宋体" w:hAnsi="宋体" w:cs="宋体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1602</Characters>
  <Application>Microsoft Office Word</Application>
  <DocSecurity>0</DocSecurity>
  <Lines>13</Lines>
  <Paragraphs>3</Paragraphs>
  <ScaleCrop>false</ScaleCrop>
  <Company>China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2025-07-11T01:20:00Z</dcterms:created>
  <dcterms:modified xsi:type="dcterms:W3CDTF">2025-07-11T01:20:00Z</dcterms:modified>
</cp:coreProperties>
</file>