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一、餐饮食品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抽检依据包括GB 2760-2014《食品安全国家标准 食品添加剂使用标准》，食品整治办[2008]3号《食品中可能违法添加的非食用物质和易滥用的食品添加剂品种名单(第一批)》，GB 2762-2017《食品安全国家标准 食品中污染物限量》，中华人民共和国卫生部、国家食品药品监督管理局公告2012年第10号， 整顿办函[2011]1号《食品中可能违法添加的非食用物质和易滥用的食品添加剂品种名单(第五批)》， GB 14934-2016《食品安全国家标准 消毒餐(饮)具》 等标准及指标的要求。</w:t>
      </w:r>
    </w:p>
    <w:p>
      <w:pPr>
        <w:spacing w:line="64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餐饮具等的检验项目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  <w:t>阴离子合成洗涤剂，大肠菌群，游离性余氯等。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  <w:t>米面及其制品(自制)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包括苯甲酸及其钠盐( 以苯甲酸计)、山梨酸及其钾盐 (以山梨酸计)、糖精钠( 以糖精计)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其他餐饮食品的检验项目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二氧化钛、铅（以Pb计）、苯甲酸及其钠盐（以苯甲酸计）、山梨酸及其钾盐（以山梨酸计）、硼砂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、糖精钠( 以糖精计)罂粟碱、吗啡、可待因、那可丁、蒂巴因、苏丹红I-IV等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肉制品(自制)的检验项目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胭脂红、亚硝酸盐（以亚硝酸钠计）、苯甲酸及其钠盐（以苯甲酸计）、山梨酸及其钾盐（以山梨酸计）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饮料(自制)的检验项目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苯甲酸及其钠盐( 以苯甲酸计)、山梨酸及其钾盐 (以山梨酸计)、胭脂红、诱惑红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二、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抽检依据包括GB/T 19048-2008《地理标志产品 龙口粉丝》，GB 2762-2017《食品安全国家标准 食品中污染物限量》，GB 2760-2014《食品安全国家标准 食品添加剂使用标准》等标准及指标的要求。</w:t>
      </w:r>
    </w:p>
    <w:p>
      <w:pPr>
        <w:spacing w:line="64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淀粉及淀粉制品等的检验项目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  <w:t>铝的残留量(干样品，以Al计)、二氧化硫残留量、铅（以Pb计）等。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三、食用油、油脂及其制品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抽检依据包括 GB 2760-2014《食品安全国家标准 食品添加剂使用标准》，Q/BBAH0019S-2021《大豆油》，GB/T 1535-2017《大豆油》，GB 2716-2018《食品安全国家标准 植物油》 等标准及指标的要求。</w:t>
      </w:r>
    </w:p>
    <w:p>
      <w:pPr>
        <w:spacing w:line="64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食用油、油脂及其制品等的检验项目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  <w:t>酸值/酸价、极性组分、过氧化值、铅（以Pb计）、苯并芘、溶剂残留量、特丁基对苯二酚(TBHQ)等。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四、调味品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抽检依据包括 GB 2762-2017《食品安全国家标准 食品中污染物限量》，整顿办函[2011]1号《食品中可能违法添加的非食用物质和易滥用的食品添加剂品种名单(第五批)》，食品整治办[2008]3号《食品中可能违法添加的非食用物质和易滥用的食品添加剂品种名单(第一批)》等标准及指标的要求。</w:t>
      </w:r>
    </w:p>
    <w:p>
      <w:pPr>
        <w:spacing w:line="64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项目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调味品等的检验项目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  <w:t>铅（以Pb计）、罗丹明 B、苏丹红I、苏丹红II、苏丹红III、苏丹红 IV等。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00172A27"/>
    <w:rsid w:val="00056990"/>
    <w:rsid w:val="023B2A26"/>
    <w:rsid w:val="02815E6A"/>
    <w:rsid w:val="03601AF8"/>
    <w:rsid w:val="03AC3BCC"/>
    <w:rsid w:val="041074A8"/>
    <w:rsid w:val="0A34629D"/>
    <w:rsid w:val="0BA2125D"/>
    <w:rsid w:val="0C0E3D3D"/>
    <w:rsid w:val="0C585C29"/>
    <w:rsid w:val="0E3E1D73"/>
    <w:rsid w:val="13E61DA5"/>
    <w:rsid w:val="167E0EA2"/>
    <w:rsid w:val="184D749F"/>
    <w:rsid w:val="19506497"/>
    <w:rsid w:val="19AA3D01"/>
    <w:rsid w:val="1AEF2A05"/>
    <w:rsid w:val="1B0A5ABD"/>
    <w:rsid w:val="1B4A3CA9"/>
    <w:rsid w:val="1DA36E11"/>
    <w:rsid w:val="1E47028E"/>
    <w:rsid w:val="1E6177E0"/>
    <w:rsid w:val="1F8E3290"/>
    <w:rsid w:val="1FB469C6"/>
    <w:rsid w:val="21497DB4"/>
    <w:rsid w:val="24570BE4"/>
    <w:rsid w:val="26614758"/>
    <w:rsid w:val="26D232EE"/>
    <w:rsid w:val="27B35A81"/>
    <w:rsid w:val="27CF6EBB"/>
    <w:rsid w:val="28D33E54"/>
    <w:rsid w:val="2AAF2BEE"/>
    <w:rsid w:val="2BA5326E"/>
    <w:rsid w:val="2C2F443A"/>
    <w:rsid w:val="2E4A390D"/>
    <w:rsid w:val="31305298"/>
    <w:rsid w:val="31D72180"/>
    <w:rsid w:val="32F32CBE"/>
    <w:rsid w:val="33D317A5"/>
    <w:rsid w:val="342A4363"/>
    <w:rsid w:val="363D0F5A"/>
    <w:rsid w:val="375663AE"/>
    <w:rsid w:val="38343DB3"/>
    <w:rsid w:val="39AC7E22"/>
    <w:rsid w:val="3A8F36A2"/>
    <w:rsid w:val="3D2C013D"/>
    <w:rsid w:val="421E7173"/>
    <w:rsid w:val="44A33858"/>
    <w:rsid w:val="44D65D48"/>
    <w:rsid w:val="453C3A08"/>
    <w:rsid w:val="47D06D5E"/>
    <w:rsid w:val="48310269"/>
    <w:rsid w:val="4F06022C"/>
    <w:rsid w:val="4F356F4E"/>
    <w:rsid w:val="500E6D3B"/>
    <w:rsid w:val="506A01C6"/>
    <w:rsid w:val="525F2C10"/>
    <w:rsid w:val="52AD62F0"/>
    <w:rsid w:val="52FE4B31"/>
    <w:rsid w:val="53B37BC5"/>
    <w:rsid w:val="585B0231"/>
    <w:rsid w:val="58CA167D"/>
    <w:rsid w:val="58FB0FAB"/>
    <w:rsid w:val="59953967"/>
    <w:rsid w:val="5A4C4997"/>
    <w:rsid w:val="5AFA46E0"/>
    <w:rsid w:val="5D382846"/>
    <w:rsid w:val="5EF33BD0"/>
    <w:rsid w:val="5FF72E5E"/>
    <w:rsid w:val="60D7476A"/>
    <w:rsid w:val="61783E1E"/>
    <w:rsid w:val="6227449B"/>
    <w:rsid w:val="627549C7"/>
    <w:rsid w:val="68681048"/>
    <w:rsid w:val="68C25BEA"/>
    <w:rsid w:val="69041358"/>
    <w:rsid w:val="69E61D1A"/>
    <w:rsid w:val="6AA239CD"/>
    <w:rsid w:val="6DA856C0"/>
    <w:rsid w:val="6EBA55BB"/>
    <w:rsid w:val="6F8D53CC"/>
    <w:rsid w:val="71362800"/>
    <w:rsid w:val="74547DD2"/>
    <w:rsid w:val="749A5438"/>
    <w:rsid w:val="76BF6EE5"/>
    <w:rsid w:val="77191356"/>
    <w:rsid w:val="778A0293"/>
    <w:rsid w:val="78626853"/>
    <w:rsid w:val="7C553796"/>
    <w:rsid w:val="7CBF1796"/>
    <w:rsid w:val="7D506938"/>
    <w:rsid w:val="7DA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Calibri" w:hAnsi="Calibri" w:eastAsia="黑体" w:cs="Times New Roman"/>
      <w:b/>
      <w:kern w:val="44"/>
      <w:sz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spacing w:line="240" w:lineRule="auto"/>
      <w:jc w:val="center"/>
      <w:outlineLvl w:val="1"/>
    </w:pPr>
    <w:rPr>
      <w:rFonts w:ascii="黑体" w:hAnsi="黑体" w:eastAsia="黑体" w:cs="Times New Roman"/>
      <w:b/>
      <w:sz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Calibri" w:hAnsi="Calibri" w:eastAsia="黑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Char"/>
    <w:link w:val="3"/>
    <w:qFormat/>
    <w:uiPriority w:val="0"/>
    <w:rPr>
      <w:rFonts w:ascii="Calibri" w:hAnsi="Calibri" w:eastAsia="黑体" w:cs="Times New Roman"/>
      <w:b/>
      <w:kern w:val="44"/>
      <w:sz w:val="44"/>
    </w:rPr>
  </w:style>
  <w:style w:type="character" w:customStyle="1" w:styleId="9">
    <w:name w:val="标题 2 Char"/>
    <w:link w:val="4"/>
    <w:semiHidden/>
    <w:qFormat/>
    <w:locked/>
    <w:uiPriority w:val="99"/>
    <w:rPr>
      <w:rFonts w:ascii="黑体" w:hAnsi="黑体" w:eastAsia="黑体" w:cs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451</Words>
  <Characters>495</Characters>
  <Lines>0</Lines>
  <Paragraphs>0</Paragraphs>
  <TotalTime>6</TotalTime>
  <ScaleCrop>false</ScaleCrop>
  <LinksUpToDate>false</LinksUpToDate>
  <CharactersWithSpaces>507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</dc:creator>
  <cp:lastModifiedBy>GrowζGlow</cp:lastModifiedBy>
  <dcterms:modified xsi:type="dcterms:W3CDTF">2022-09-28T03:30:10Z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81807C4368E14E2896E7A0B9FB4D02D6</vt:lpwstr>
  </property>
</Properties>
</file>