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ˎ̥" w:eastAsia="黑体" w:cs="Arial"/>
          <w:kern w:val="0"/>
          <w:sz w:val="32"/>
          <w:szCs w:val="32"/>
        </w:rPr>
      </w:pPr>
      <w:r>
        <w:rPr>
          <w:rFonts w:hint="eastAsia" w:ascii="黑体" w:hAnsi="ˎ̥" w:eastAsia="黑体" w:cs="Arial"/>
          <w:kern w:val="0"/>
          <w:sz w:val="32"/>
          <w:szCs w:val="32"/>
        </w:rPr>
        <w:t>附件1</w:t>
      </w:r>
    </w:p>
    <w:p>
      <w:pPr>
        <w:widowControl/>
        <w:spacing w:line="640" w:lineRule="exact"/>
        <w:ind w:firstLine="3420" w:firstLineChars="950"/>
        <w:rPr>
          <w:rFonts w:hint="eastAsia"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一、餐饮食品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ab/>
      </w:r>
      <w:r>
        <w:rPr>
          <w:rFonts w:hint="eastAsia" w:ascii="楷体_GB2312" w:eastAsia="楷体_GB2312"/>
          <w:sz w:val="32"/>
          <w:szCs w:val="32"/>
        </w:rPr>
        <w:t>抽检依据</w:t>
      </w:r>
    </w:p>
    <w:p>
      <w:pPr>
        <w:spacing w:line="580" w:lineRule="exact"/>
        <w:ind w:firstLine="64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抽检依据包括GB 14934-2016《食品安全国家标准 消毒餐(饮)具》，GB 2760-2014《食品安全国家标准 食品添加剂使用标准》，《卫生部、国家食药监管局关于禁止餐饮服务单位采购、贮存、使用食品添加剂亚硝酸盐的公告》（公告2012年第10号），GB 2762-2017《食品安全国家标准 食品中污染物限量》， GB 2716-2018《食品安全国家标准 植物油》，食品整治办[2008]3号《食品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中可能违法添加的非食用物质和易滥用的食品添加剂品种名单(第一批)》，GB 19300-2014《食品安全国家标准 坚果与籽类食品》，整顿办函[2011]1号《食品中可能违法添加的非食用物质和易滥用的食品添加剂品种名单(第五批)》等标准及指标的要求。</w:t>
      </w:r>
    </w:p>
    <w:p>
      <w:pPr>
        <w:spacing w:line="64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ab/>
      </w:r>
      <w:r>
        <w:rPr>
          <w:rFonts w:hint="eastAsia" w:ascii="楷体_GB2312" w:eastAsia="楷体_GB2312"/>
          <w:sz w:val="32"/>
          <w:szCs w:val="32"/>
        </w:rPr>
        <w:t>抽检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复用餐饮具(餐馆自行消毒)的检验项目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</w:t>
      </w:r>
      <w:r>
        <w:rPr>
          <w:rFonts w:hint="eastAsia" w:ascii="仿宋_GB2312" w:eastAsia="仿宋_GB2312"/>
          <w:strike w:val="0"/>
          <w:dstrike w:val="0"/>
          <w:color w:val="000000"/>
          <w:sz w:val="32"/>
          <w:szCs w:val="32"/>
          <w:lang w:val="en-US" w:eastAsia="zh-CN"/>
        </w:rPr>
        <w:t>阴离子合成洗涤剂，大肠菌群，游离性余氯等。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000000"/>
          <w:sz w:val="32"/>
          <w:szCs w:val="32"/>
          <w:lang w:val="en-US" w:eastAsia="zh-CN"/>
        </w:rPr>
        <w:t>包子(自制)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包括苯甲酸及其钠盐( 以苯甲酸计)、山梨酸及其钾盐 (以山梨酸计)、糖精钠( 以糖精计)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发酵面制品(餐饮)的检验项目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苯甲酸及其钠盐( 以苯甲酸计)、山梨酸及其钾盐 (以山梨酸计)、糖精钠( 以糖精计)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糕点(自制)的检验项目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苯甲酸及其钠盐（以苯甲酸计）、糖精钠、甜蜜素、安赛蜜、脱氢乙酸及其钠盐（以脱氢乙酸计）、三氯蔗糖、铝的残留量（干样品，以Al计）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煎炸过程用油的检验项目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酸价(KOH)、极性组分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酱卤肉制品(自制)的检验项目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包括胭脂红、亚硝酸盐（以亚硝酸钠计）、苯甲酸及其钠盐（以苯甲酸计）、山梨酸及其钾盐（以山梨酸计）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酱腌菜(自制)的检验项目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包括亚硝酸盐（以NaNO2计）、苯甲酸及其钠盐（以苯甲酸计）、山梨酸及其钾盐（以山梨酸计）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辣椒调料(餐饮)的检验项目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包括罂粟碱、吗啡、可待因、那可丁、蒂巴因、苏丹红I-IV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凉粉类(自制)的检验项目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包括铝的残留量(干样品，以Al计)、二氧化硫残留量、铅（以Pb计）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馒头花卷(自制)的检验项目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包括苯甲酸及其钠盐( 以苯甲酸计)、山梨酸及其钾盐 (以山梨酸计)、糖精钠( 以糖精计)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其他发酵面制品(自制)的检验项目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包括苯甲酸及其钠盐( 以苯甲酸计)、山梨酸及其钾盐 (以山梨酸计)、糖精钠( 以糖精计)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其他熟肉类(自制)的检验项目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包括胭脂红、亚硝酸盐（以亚硝酸钠计）、苯甲酸及其钠盐（以苯甲酸计）、山梨酸及其钾盐（以山梨酸计）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其他熟制面制品(自制)的检验项目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包括苯甲酸及其钠盐( 以苯甲酸计)、山梨酸及其钾盐 (以山梨酸计)、糖精钠( 以糖精计)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肉冻、皮冻(自制)的检验项目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包括铬（以Cr计）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生湿面制品(餐饮)的检验项目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包括二氧化钛、铅（以Pb计）、苯甲酸及其钠盐（以苯甲酸计）、山梨酸及其钾盐（以山梨酸计）、硼砂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油炸面制品(自制)的检验项目</w:t>
      </w:r>
      <w:r>
        <w:rPr>
          <w:rFonts w:hint="eastAsia" w:ascii="仿宋_GB2312" w:eastAsia="仿宋_GB2312"/>
          <w:color w:val="000000"/>
          <w:sz w:val="32"/>
          <w:szCs w:val="32"/>
        </w:rPr>
        <w:t>包括铝的残留量(干样品,以Al计)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等。</w:t>
      </w:r>
    </w:p>
    <w:p>
      <w:pPr>
        <w:pStyle w:val="2"/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WIxZjNkOTUwNTg2MDU5Y2M5OGRmOGE4NGViODYifQ=="/>
  </w:docVars>
  <w:rsids>
    <w:rsidRoot w:val="00172A27"/>
    <w:rsid w:val="00056990"/>
    <w:rsid w:val="023B2A26"/>
    <w:rsid w:val="02815E6A"/>
    <w:rsid w:val="03601AF8"/>
    <w:rsid w:val="03AC3BCC"/>
    <w:rsid w:val="041074A8"/>
    <w:rsid w:val="0A34629D"/>
    <w:rsid w:val="0BA2125D"/>
    <w:rsid w:val="0C0E3D3D"/>
    <w:rsid w:val="0C585C29"/>
    <w:rsid w:val="0E3E1D73"/>
    <w:rsid w:val="13E61DA5"/>
    <w:rsid w:val="167E0EA2"/>
    <w:rsid w:val="184D749F"/>
    <w:rsid w:val="19506497"/>
    <w:rsid w:val="19AA3D01"/>
    <w:rsid w:val="1AEF2A05"/>
    <w:rsid w:val="1B0A5ABD"/>
    <w:rsid w:val="1B4A3CA9"/>
    <w:rsid w:val="1DA36E11"/>
    <w:rsid w:val="1E47028E"/>
    <w:rsid w:val="1E6177E0"/>
    <w:rsid w:val="1F8E3290"/>
    <w:rsid w:val="1FB469C6"/>
    <w:rsid w:val="21497DB4"/>
    <w:rsid w:val="24570BE4"/>
    <w:rsid w:val="26614758"/>
    <w:rsid w:val="26D232EE"/>
    <w:rsid w:val="27B35A81"/>
    <w:rsid w:val="27CF6EBB"/>
    <w:rsid w:val="28D33E54"/>
    <w:rsid w:val="2AAF2BEE"/>
    <w:rsid w:val="2BA5326E"/>
    <w:rsid w:val="2C2F443A"/>
    <w:rsid w:val="2E4A390D"/>
    <w:rsid w:val="31305298"/>
    <w:rsid w:val="31D72180"/>
    <w:rsid w:val="32F32CBE"/>
    <w:rsid w:val="33D317A5"/>
    <w:rsid w:val="342A4363"/>
    <w:rsid w:val="363D0F5A"/>
    <w:rsid w:val="375663AE"/>
    <w:rsid w:val="38343DB3"/>
    <w:rsid w:val="39AC7E22"/>
    <w:rsid w:val="3A8F36A2"/>
    <w:rsid w:val="3BF97437"/>
    <w:rsid w:val="3D2C013D"/>
    <w:rsid w:val="421E7173"/>
    <w:rsid w:val="44A33858"/>
    <w:rsid w:val="44D65D48"/>
    <w:rsid w:val="453C3A08"/>
    <w:rsid w:val="47D06D5E"/>
    <w:rsid w:val="48310269"/>
    <w:rsid w:val="4F06022C"/>
    <w:rsid w:val="4F356F4E"/>
    <w:rsid w:val="500E6D3B"/>
    <w:rsid w:val="506A01C6"/>
    <w:rsid w:val="525F2C10"/>
    <w:rsid w:val="52AD62F0"/>
    <w:rsid w:val="52FE4B31"/>
    <w:rsid w:val="53B37BC5"/>
    <w:rsid w:val="585B0231"/>
    <w:rsid w:val="58CA167D"/>
    <w:rsid w:val="58FB0FAB"/>
    <w:rsid w:val="59953967"/>
    <w:rsid w:val="5A4C4997"/>
    <w:rsid w:val="5AFA46E0"/>
    <w:rsid w:val="5D382846"/>
    <w:rsid w:val="5EF33BD0"/>
    <w:rsid w:val="5FF72E5E"/>
    <w:rsid w:val="60D7476A"/>
    <w:rsid w:val="61783E1E"/>
    <w:rsid w:val="6227449B"/>
    <w:rsid w:val="627549C7"/>
    <w:rsid w:val="68681048"/>
    <w:rsid w:val="68C25BEA"/>
    <w:rsid w:val="69041358"/>
    <w:rsid w:val="69E61D1A"/>
    <w:rsid w:val="6AA239CD"/>
    <w:rsid w:val="6DA856C0"/>
    <w:rsid w:val="6EBA55BB"/>
    <w:rsid w:val="6F8D53CC"/>
    <w:rsid w:val="71362800"/>
    <w:rsid w:val="74547DD2"/>
    <w:rsid w:val="749A5438"/>
    <w:rsid w:val="76BF6EE5"/>
    <w:rsid w:val="77191356"/>
    <w:rsid w:val="778A0293"/>
    <w:rsid w:val="78626853"/>
    <w:rsid w:val="7C553796"/>
    <w:rsid w:val="7CBF1796"/>
    <w:rsid w:val="7D506938"/>
    <w:rsid w:val="7DA56A1D"/>
    <w:rsid w:val="7D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Calibri" w:hAnsi="Calibri" w:eastAsia="黑体" w:cs="Times New Roman"/>
      <w:b/>
      <w:kern w:val="44"/>
      <w:sz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spacing w:line="240" w:lineRule="auto"/>
      <w:jc w:val="center"/>
      <w:outlineLvl w:val="1"/>
    </w:pPr>
    <w:rPr>
      <w:rFonts w:ascii="黑体" w:hAnsi="黑体" w:eastAsia="黑体" w:cs="Times New Roman"/>
      <w:b/>
      <w:sz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2"/>
    </w:pPr>
    <w:rPr>
      <w:rFonts w:ascii="Calibri" w:hAnsi="Calibri" w:eastAsia="黑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1 Char"/>
    <w:link w:val="3"/>
    <w:qFormat/>
    <w:uiPriority w:val="0"/>
    <w:rPr>
      <w:rFonts w:ascii="Calibri" w:hAnsi="Calibri" w:eastAsia="黑体" w:cs="Times New Roman"/>
      <w:b/>
      <w:kern w:val="44"/>
      <w:sz w:val="44"/>
    </w:rPr>
  </w:style>
  <w:style w:type="character" w:customStyle="1" w:styleId="9">
    <w:name w:val="标题 2 Char"/>
    <w:link w:val="4"/>
    <w:semiHidden/>
    <w:qFormat/>
    <w:locked/>
    <w:uiPriority w:val="99"/>
    <w:rPr>
      <w:rFonts w:ascii="黑体" w:hAnsi="黑体" w:eastAsia="黑体" w:cs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451</Words>
  <Characters>495</Characters>
  <Lines>0</Lines>
  <Paragraphs>0</Paragraphs>
  <TotalTime>6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</dc:creator>
  <cp:lastModifiedBy>GrowζGlow</cp:lastModifiedBy>
  <dcterms:modified xsi:type="dcterms:W3CDTF">2022-11-28T06:36:32Z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81807C4368E14E2896E7A0B9FB4D02D6</vt:lpwstr>
  </property>
</Properties>
</file>